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A7918" w14:textId="449A9D8C" w:rsidR="004C2521" w:rsidRPr="00C95767" w:rsidRDefault="004C2521" w:rsidP="004C252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Nowa Wieś Wielka, 20 g</w:t>
      </w:r>
      <w:r w:rsidRPr="00C95767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udni</w:t>
      </w:r>
      <w:r w:rsidRPr="00C95767">
        <w:rPr>
          <w:rFonts w:ascii="Times New Roman" w:hAnsi="Times New Roman" w:cs="Times New Roman"/>
          <w:bCs/>
          <w:sz w:val="24"/>
          <w:szCs w:val="24"/>
        </w:rPr>
        <w:t xml:space="preserve">a 2022 r. </w:t>
      </w:r>
    </w:p>
    <w:p w14:paraId="6F244337" w14:textId="77777777" w:rsidR="004C2521" w:rsidRPr="00C95767" w:rsidRDefault="004C2521" w:rsidP="004C252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47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3"/>
      </w:tblGrid>
      <w:tr w:rsidR="004C2521" w:rsidRPr="00C95767" w14:paraId="4216E6EC" w14:textId="77777777" w:rsidTr="002315E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5D338958" w14:textId="77777777" w:rsidR="004C2521" w:rsidRPr="00C95767" w:rsidRDefault="004C2521" w:rsidP="0023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D28D242" w14:textId="71B9056D" w:rsidR="004C2521" w:rsidRPr="00C95767" w:rsidRDefault="004C2521" w:rsidP="004C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Naczelny Sąd Administracyjny w Warszawie </w:t>
            </w:r>
          </w:p>
        </w:tc>
      </w:tr>
      <w:tr w:rsidR="004C2521" w:rsidRPr="00C95767" w14:paraId="342121AB" w14:textId="77777777" w:rsidTr="002315E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03A5C760" w14:textId="1DE31E98" w:rsidR="004C2521" w:rsidRPr="00C95767" w:rsidRDefault="004C2521" w:rsidP="0023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ul. G</w:t>
            </w:r>
            <w:r w:rsidRPr="00C9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briel</w:t>
            </w:r>
            <w:r w:rsidRPr="00C9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Boduena 3/</w:t>
            </w:r>
            <w:r w:rsidRPr="00C9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  <w:p w14:paraId="09DE66F9" w14:textId="70F97BE5" w:rsidR="004C2521" w:rsidRPr="00C95767" w:rsidRDefault="004C2521" w:rsidP="004C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00</w:t>
            </w:r>
            <w:r w:rsidRPr="00C9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011</w:t>
            </w:r>
            <w:r w:rsidRPr="00C9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</w:t>
            </w:r>
            <w:r w:rsidRPr="00C9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awa</w:t>
            </w:r>
          </w:p>
        </w:tc>
      </w:tr>
      <w:tr w:rsidR="004C2521" w:rsidRPr="00C95767" w14:paraId="301CF191" w14:textId="77777777" w:rsidTr="002315EC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39553D6" w14:textId="02BDF690" w:rsidR="004C2521" w:rsidRDefault="004C2521" w:rsidP="0023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</w:t>
            </w:r>
          </w:p>
          <w:p w14:paraId="46C95D42" w14:textId="098EE22D" w:rsidR="004C2521" w:rsidRPr="004C2521" w:rsidRDefault="004C2521" w:rsidP="00231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C25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                                    za pośrednictwem </w:t>
            </w:r>
          </w:p>
          <w:tbl>
            <w:tblPr>
              <w:tblW w:w="8475" w:type="dxa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75"/>
            </w:tblGrid>
            <w:tr w:rsidR="004C2521" w:rsidRPr="00C95767" w14:paraId="3535118F" w14:textId="77777777" w:rsidTr="002315EC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60B76DC" w14:textId="77777777" w:rsidR="004C2521" w:rsidRPr="00C95767" w:rsidRDefault="004C2521" w:rsidP="00231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14:paraId="195ACE21" w14:textId="0861F8E3" w:rsidR="004C2521" w:rsidRDefault="004C2521" w:rsidP="004C25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C957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                                                   Wojewódzki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ego</w:t>
                  </w:r>
                  <w:r w:rsidRPr="00C957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Sąd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u</w:t>
                  </w:r>
                  <w:r w:rsidRPr="00C957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Administracyjn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ego</w:t>
                  </w:r>
                </w:p>
                <w:p w14:paraId="70DBA425" w14:textId="46578552" w:rsidR="004C2521" w:rsidRPr="00C95767" w:rsidRDefault="004C2521" w:rsidP="004C25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C957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                                                  </w:t>
                  </w:r>
                  <w:r w:rsidRPr="00C957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 Bydgoszczy</w:t>
                  </w:r>
                </w:p>
              </w:tc>
            </w:tr>
            <w:tr w:rsidR="004C2521" w:rsidRPr="00C95767" w14:paraId="342A4598" w14:textId="77777777" w:rsidTr="002315EC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FEF6700" w14:textId="30DDC067" w:rsidR="004C2521" w:rsidRPr="00C95767" w:rsidRDefault="004C2521" w:rsidP="00231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C957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                                                   ul. Jana Kazimierza 5</w:t>
                  </w:r>
                </w:p>
                <w:p w14:paraId="2E4F52DA" w14:textId="555EC72B" w:rsidR="004C2521" w:rsidRPr="00C95767" w:rsidRDefault="004C2521" w:rsidP="004C25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957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                                                   85-035 Bydgoszcz</w:t>
                  </w:r>
                </w:p>
              </w:tc>
            </w:tr>
          </w:tbl>
          <w:p w14:paraId="76157456" w14:textId="77777777" w:rsidR="004C2521" w:rsidRPr="00C95767" w:rsidRDefault="004C2521" w:rsidP="0023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C2521" w:rsidRPr="00C95767" w14:paraId="0ADEA72F" w14:textId="77777777" w:rsidTr="002315EC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16C17EC" w14:textId="77777777" w:rsidR="004C2521" w:rsidRPr="00C95767" w:rsidRDefault="004C2521" w:rsidP="0023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AC05F83" w14:textId="44B1A050" w:rsidR="004C2521" w:rsidRPr="00245186" w:rsidRDefault="004C2521" w:rsidP="004C2521">
      <w:pPr>
        <w:spacing w:after="0" w:line="240" w:lineRule="auto"/>
        <w:ind w:left="3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9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Skarżący: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4518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jewoda Kujawsko-Pomorski</w:t>
      </w:r>
      <w:r w:rsidRPr="002451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611CE939" w14:textId="77777777" w:rsidR="004C2521" w:rsidRPr="00C95767" w:rsidRDefault="004C2521" w:rsidP="004C252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2C183C" w14:textId="77777777" w:rsidR="004C2521" w:rsidRPr="00C95767" w:rsidRDefault="004C2521" w:rsidP="004C252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Organ: </w:t>
      </w:r>
      <w:r w:rsidRPr="00C957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Rada Gminy </w:t>
      </w:r>
      <w:r w:rsidRPr="00C95767">
        <w:rPr>
          <w:rFonts w:ascii="Times New Roman" w:eastAsia="Times New Roman" w:hAnsi="Times New Roman" w:cs="Times New Roman"/>
          <w:sz w:val="24"/>
          <w:szCs w:val="24"/>
          <w:lang w:eastAsia="pl-PL"/>
        </w:rPr>
        <w:t>Nowa Wieś Wielka.</w:t>
      </w:r>
    </w:p>
    <w:p w14:paraId="19D17A5E" w14:textId="59DED10E" w:rsidR="004C2521" w:rsidRDefault="004C2521" w:rsidP="004C25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Sygn. akt II SA/Bd 313/22</w:t>
      </w:r>
    </w:p>
    <w:p w14:paraId="5406F3EE" w14:textId="77777777" w:rsidR="004C2521" w:rsidRPr="00C95767" w:rsidRDefault="004C2521" w:rsidP="004C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03314" w14:textId="5A91001F" w:rsidR="004C2521" w:rsidRPr="00C95767" w:rsidRDefault="004C2521" w:rsidP="004C252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SKARGA KASACYJNA</w:t>
      </w:r>
    </w:p>
    <w:p w14:paraId="44B4867B" w14:textId="77777777" w:rsidR="004C2521" w:rsidRPr="004C2521" w:rsidRDefault="004C2521" w:rsidP="00D40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wyroku </w:t>
      </w:r>
      <w:r w:rsidRPr="004C25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Wojewódzkiego Sądu Administracyjnego w Bydgoszczy</w:t>
      </w:r>
      <w:r w:rsidRPr="004C2521">
        <w:rPr>
          <w:rFonts w:ascii="Times New Roman" w:hAnsi="Times New Roman" w:cs="Times New Roman"/>
          <w:sz w:val="24"/>
          <w:szCs w:val="24"/>
        </w:rPr>
        <w:t xml:space="preserve"> z dnia 28 września 2022 r., sygn. akt II SA/Bd 313/22.</w:t>
      </w:r>
    </w:p>
    <w:p w14:paraId="4D382015" w14:textId="77777777" w:rsidR="004C2521" w:rsidRPr="004C2521" w:rsidRDefault="004C2521" w:rsidP="004C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419DA" w14:textId="77777777" w:rsidR="00631D5E" w:rsidRDefault="004C2521" w:rsidP="00D40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76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askarża</w:t>
      </w:r>
      <w:r w:rsidR="00E2068E">
        <w:rPr>
          <w:rFonts w:ascii="Times New Roman" w:hAnsi="Times New Roman" w:cs="Times New Roman"/>
          <w:sz w:val="24"/>
          <w:szCs w:val="24"/>
        </w:rPr>
        <w:t>jąc</w:t>
      </w:r>
      <w:r>
        <w:rPr>
          <w:rFonts w:ascii="Times New Roman" w:hAnsi="Times New Roman" w:cs="Times New Roman"/>
          <w:sz w:val="24"/>
          <w:szCs w:val="24"/>
        </w:rPr>
        <w:t xml:space="preserve"> w całości wyrok </w:t>
      </w:r>
      <w:r w:rsidRPr="004C25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Wojewódzkiego Sądu Administracyjnego w Bydgoszczy</w:t>
      </w:r>
      <w:r w:rsidRPr="004C2521">
        <w:rPr>
          <w:rFonts w:ascii="Times New Roman" w:hAnsi="Times New Roman" w:cs="Times New Roman"/>
          <w:sz w:val="24"/>
          <w:szCs w:val="24"/>
        </w:rPr>
        <w:t xml:space="preserve"> z dnia 28 września 2022 r., sygn. akt II SA/Bd 313/22</w:t>
      </w:r>
      <w:r>
        <w:rPr>
          <w:rFonts w:ascii="Times New Roman" w:hAnsi="Times New Roman" w:cs="Times New Roman"/>
          <w:sz w:val="24"/>
          <w:szCs w:val="24"/>
        </w:rPr>
        <w:t>, doręczony stronie skarżącej wraz z uzasadnieniem w dniu 24 listopada 2022 r.</w:t>
      </w:r>
      <w:r w:rsidR="00E2068E">
        <w:rPr>
          <w:rFonts w:ascii="Times New Roman" w:hAnsi="Times New Roman" w:cs="Times New Roman"/>
          <w:sz w:val="24"/>
          <w:szCs w:val="24"/>
        </w:rPr>
        <w:t xml:space="preserve">, </w:t>
      </w:r>
      <w:r w:rsidR="00631D5E" w:rsidRPr="00C95767">
        <w:rPr>
          <w:rFonts w:ascii="Times New Roman" w:hAnsi="Times New Roman" w:cs="Times New Roman"/>
          <w:sz w:val="24"/>
          <w:szCs w:val="24"/>
        </w:rPr>
        <w:t>wnoszę o</w:t>
      </w:r>
      <w:r w:rsidR="00631D5E">
        <w:rPr>
          <w:rFonts w:ascii="Times New Roman" w:hAnsi="Times New Roman" w:cs="Times New Roman"/>
          <w:sz w:val="24"/>
          <w:szCs w:val="24"/>
        </w:rPr>
        <w:t>:</w:t>
      </w:r>
    </w:p>
    <w:p w14:paraId="495D1D10" w14:textId="77777777" w:rsidR="00631D5E" w:rsidRDefault="00631D5E" w:rsidP="00D40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F5CE2" w14:textId="41594C77" w:rsidR="004C2521" w:rsidRPr="00631D5E" w:rsidRDefault="00631D5E" w:rsidP="0063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1.u</w:t>
      </w:r>
      <w:r w:rsidRPr="00631D5E">
        <w:rPr>
          <w:rFonts w:ascii="Times New Roman" w:hAnsi="Times New Roman"/>
          <w:sz w:val="24"/>
          <w:szCs w:val="24"/>
        </w:rPr>
        <w:t>chylenie zaskarżonego orzeczenia i rozpoznanie skargi, jeżeli</w:t>
      </w:r>
      <w:r>
        <w:rPr>
          <w:rFonts w:ascii="Times New Roman" w:hAnsi="Times New Roman"/>
          <w:sz w:val="24"/>
          <w:szCs w:val="24"/>
        </w:rPr>
        <w:t xml:space="preserve"> Naczelny Sąd Administracyjny uzna, że istota sprawy jest dostatecznie wyjaśniona, na podstawie art. </w:t>
      </w:r>
      <w:r w:rsidRPr="00631D5E">
        <w:rPr>
          <w:rFonts w:ascii="Times New Roman" w:hAnsi="Times New Roman" w:cs="Times New Roman"/>
          <w:sz w:val="24"/>
          <w:szCs w:val="24"/>
        </w:rPr>
        <w:t>188 ustawy z dnia 30 sierpnia 2002 r. Prawo o postępowaniu przed sądami administracyjnymi,</w:t>
      </w:r>
    </w:p>
    <w:p w14:paraId="450F1F34" w14:textId="77777777" w:rsidR="00631D5E" w:rsidRDefault="00631D5E" w:rsidP="00631D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EBB576" w14:textId="2B7F132B" w:rsidR="00631D5E" w:rsidRDefault="00631D5E" w:rsidP="00631D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lub</w:t>
      </w:r>
    </w:p>
    <w:p w14:paraId="702CEBC6" w14:textId="77777777" w:rsidR="00631D5E" w:rsidRDefault="00631D5E" w:rsidP="00631D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5910AA8" w14:textId="746A7792" w:rsidR="00631D5E" w:rsidRPr="00631D5E" w:rsidRDefault="00631D5E" w:rsidP="0063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2.uchylenie zaskarżonego wyroku i przekazanie sprawy do ponownego rozpoznania, na podstawie art. 185 </w:t>
      </w: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 </w:t>
      </w:r>
      <w:r w:rsidRPr="00631D5E">
        <w:rPr>
          <w:rFonts w:ascii="Times New Roman" w:hAnsi="Times New Roman" w:cs="Times New Roman"/>
          <w:sz w:val="24"/>
          <w:szCs w:val="24"/>
        </w:rPr>
        <w:t xml:space="preserve">ustawy z dnia 30 sierpnia 2002 r. Prawo o postępowaniu przed sądami administracyjnymi.  </w:t>
      </w:r>
    </w:p>
    <w:p w14:paraId="333AC251" w14:textId="09BBC9C9" w:rsidR="00280AE8" w:rsidRPr="00280AE8" w:rsidRDefault="00D40D7E" w:rsidP="00280AE8">
      <w:pPr>
        <w:pStyle w:val="Nagwek2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  <w:r w:rsidRPr="00280A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Przedmiotowemu orzeczeniu zarzucam naruszenie prawa materialnego, tj. przepisów </w:t>
      </w:r>
      <w:r w:rsidR="0012720C" w:rsidRPr="00280A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art. 9 ust. 4, </w:t>
      </w:r>
      <w:r w:rsidRPr="00280A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art. 15 ust. 1</w:t>
      </w:r>
      <w:r w:rsidR="0012720C" w:rsidRPr="00280A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ust. 2, ust. 2 pkt 6, ust. 3, </w:t>
      </w:r>
      <w:r w:rsidRPr="00280A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art. </w:t>
      </w:r>
      <w:r w:rsidR="0012720C" w:rsidRPr="00280A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17, art. </w:t>
      </w:r>
      <w:r w:rsidRPr="00280A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 ust. 1 ustawy z dnia 27 marca 2003 roku o planowaniu i zagospodarowaniu przestrzennym (Dz.U. z 2022 r., poz. 503 ze zm.) przez błędną ich wykładnię polegającą na uznaniu, że</w:t>
      </w:r>
      <w:r w:rsidR="00280AE8" w:rsidRPr="00280A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E2068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niedopuszczalne jest równoległe prowadzenie prac nad zmianą studium uwarunkowań i kierunków zagospodarowania przestrzennego gminy i zmianą planu miejscowego, jako również, że niezdefiniowane pojęć powinno prowadzić wprost do rozumienia powszechnego,</w:t>
      </w:r>
      <w:r w:rsidR="00280AE8" w:rsidRPr="00280A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oraz na błędnym zastosowaniu przepisu § 8 ust. 2 rozporządzenie Ministra Infrastruktury </w:t>
      </w:r>
      <w:r w:rsidR="00280AE8" w:rsidRPr="00280AE8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>z dnia 26 sierpnia 2003 r. w sprawie wymaganego zakresu projektu miejscowego planu zagospodarowania przestrzennego</w:t>
      </w:r>
      <w:r w:rsidR="00280AE8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 xml:space="preserve"> (Dz.U. Nr 164, poz. 1587), albowiem przepis ten został uchylony </w:t>
      </w:r>
      <w:r w:rsidR="00E2068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 xml:space="preserve">w dniu 24 grudnia 2021 r., a więc jeszcze </w:t>
      </w:r>
      <w:r w:rsidR="00280AE8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>przed wydaniem orzeczenia sądowego.</w:t>
      </w:r>
    </w:p>
    <w:p w14:paraId="63C45251" w14:textId="078435C2" w:rsidR="004C2521" w:rsidRDefault="00D40D7E" w:rsidP="004C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8FC56" w14:textId="77777777" w:rsidR="00253A62" w:rsidRDefault="00253A62" w:rsidP="00253A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69BA5" w14:textId="105F4D5A" w:rsidR="00631D5E" w:rsidRPr="00C43C40" w:rsidRDefault="00631D5E" w:rsidP="00631D5E">
      <w:pPr>
        <w:pStyle w:val="Default"/>
        <w:jc w:val="center"/>
        <w:rPr>
          <w:rFonts w:ascii="Times New Roman" w:hAnsi="Times New Roman" w:cs="Times New Roman"/>
        </w:rPr>
      </w:pPr>
      <w:r w:rsidRPr="00C43C40">
        <w:rPr>
          <w:rFonts w:ascii="Times New Roman" w:eastAsia="Times New Roman" w:hAnsi="Times New Roman" w:cs="Times New Roman"/>
          <w:b/>
        </w:rPr>
        <w:lastRenderedPageBreak/>
        <w:t>Uzasadnienie</w:t>
      </w:r>
    </w:p>
    <w:p w14:paraId="7B76E79C" w14:textId="596FA39E" w:rsidR="0011761E" w:rsidRPr="00C43C40" w:rsidRDefault="0011761E" w:rsidP="00C43C40">
      <w:pPr>
        <w:autoSpaceDE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C4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Pr="00C43C40">
        <w:rPr>
          <w:rFonts w:ascii="Times New Roman" w:hAnsi="Times New Roman" w:cs="Times New Roman"/>
          <w:sz w:val="24"/>
          <w:szCs w:val="24"/>
        </w:rPr>
        <w:t>Prace projektowe nad miejscowym planem zagospodarowania przestrzennego dla centralnej części miejscowości Nowa Wieś Wielka rozpoczęły się w maju 2020 r. Wówczas, w trakcie opracow</w:t>
      </w:r>
      <w:r w:rsidR="00631D5E" w:rsidRPr="00C43C40">
        <w:rPr>
          <w:rFonts w:ascii="Times New Roman" w:hAnsi="Times New Roman" w:cs="Times New Roman"/>
          <w:sz w:val="24"/>
          <w:szCs w:val="24"/>
        </w:rPr>
        <w:t>yw</w:t>
      </w:r>
      <w:r w:rsidRPr="00C43C40">
        <w:rPr>
          <w:rFonts w:ascii="Times New Roman" w:hAnsi="Times New Roman" w:cs="Times New Roman"/>
          <w:sz w:val="24"/>
          <w:szCs w:val="24"/>
        </w:rPr>
        <w:t xml:space="preserve">ania było </w:t>
      </w:r>
      <w:r w:rsidR="00631D5E" w:rsidRPr="00C43C40">
        <w:rPr>
          <w:rFonts w:ascii="Times New Roman" w:hAnsi="Times New Roman" w:cs="Times New Roman"/>
          <w:sz w:val="24"/>
          <w:szCs w:val="24"/>
        </w:rPr>
        <w:t xml:space="preserve">już </w:t>
      </w:r>
      <w:r w:rsidRPr="00C43C40">
        <w:rPr>
          <w:rFonts w:ascii="Times New Roman" w:hAnsi="Times New Roman" w:cs="Times New Roman"/>
          <w:sz w:val="24"/>
          <w:szCs w:val="24"/>
        </w:rPr>
        <w:t>nowe Studium uwarunkowań i kierunków zagospodarowania przestrzennego dla obszaru całej gminy Nowa Wieś Wielka, które w czerwcu 2020 r. otrzymało ostatnie niezbędne opinie i uzgodnienia, a w lipcu 2020 r. rozpoczęło się jego pierwsze wyłożenie do publicznego wglądu. Po uwzględnieniu uwag</w:t>
      </w:r>
      <w:r w:rsidR="00631D5E" w:rsidRPr="00C43C40">
        <w:rPr>
          <w:rFonts w:ascii="Times New Roman" w:hAnsi="Times New Roman" w:cs="Times New Roman"/>
          <w:sz w:val="24"/>
          <w:szCs w:val="24"/>
        </w:rPr>
        <w:t>i</w:t>
      </w:r>
      <w:r w:rsidRPr="00C43C40">
        <w:rPr>
          <w:rFonts w:ascii="Times New Roman" w:hAnsi="Times New Roman" w:cs="Times New Roman"/>
          <w:sz w:val="24"/>
          <w:szCs w:val="24"/>
        </w:rPr>
        <w:t xml:space="preserve">, jaka wpłynęła do Studium, zostało ono ponownie wyłożone do publicznego wglądu od 6 października 2020 r., jednak tylko w części, której dotyczyła uwaga (obszar dwóch nieruchomości w miejscowości Brzoza). Projekt planu miejscowego został natomiast skierowany do opiniowania i uzgadniania 6 listopada 2020 r., tj. w </w:t>
      </w:r>
      <w:r w:rsidR="00631D5E" w:rsidRPr="00C43C40">
        <w:rPr>
          <w:rFonts w:ascii="Times New Roman" w:hAnsi="Times New Roman" w:cs="Times New Roman"/>
          <w:sz w:val="24"/>
          <w:szCs w:val="24"/>
        </w:rPr>
        <w:t>czasie</w:t>
      </w:r>
      <w:r w:rsidRPr="00C43C40">
        <w:rPr>
          <w:rFonts w:ascii="Times New Roman" w:hAnsi="Times New Roman" w:cs="Times New Roman"/>
          <w:sz w:val="24"/>
          <w:szCs w:val="24"/>
        </w:rPr>
        <w:t>, kiedy nowe Studium, w tym wyznaczone w nim kierunki</w:t>
      </w:r>
      <w:r w:rsidR="00631D5E" w:rsidRPr="00C43C40">
        <w:rPr>
          <w:rFonts w:ascii="Times New Roman" w:hAnsi="Times New Roman" w:cs="Times New Roman"/>
          <w:sz w:val="24"/>
          <w:szCs w:val="24"/>
        </w:rPr>
        <w:t>,</w:t>
      </w:r>
      <w:r w:rsidRPr="00C43C40">
        <w:rPr>
          <w:rFonts w:ascii="Times New Roman" w:hAnsi="Times New Roman" w:cs="Times New Roman"/>
          <w:sz w:val="24"/>
          <w:szCs w:val="24"/>
        </w:rPr>
        <w:t xml:space="preserve"> były już w pełni wyklarowane. Studium zostało uchwalone przez Radę Gminy Nowa Wieś Wielka w dniu 30 listopada 2020 r. Zgodnie z art. 20 ust. 1 ustawy </w:t>
      </w:r>
      <w:r w:rsidR="00631D5E" w:rsidRPr="00C43C40">
        <w:rPr>
          <w:rFonts w:ascii="Times New Roman" w:hAnsi="Times New Roman" w:cs="Times New Roman"/>
          <w:sz w:val="24"/>
          <w:szCs w:val="24"/>
        </w:rPr>
        <w:t xml:space="preserve">z dnia 27 marca 2003 r. </w:t>
      </w:r>
      <w:r w:rsidRPr="00C43C40">
        <w:rPr>
          <w:rFonts w:ascii="Times New Roman" w:hAnsi="Times New Roman" w:cs="Times New Roman"/>
          <w:sz w:val="24"/>
          <w:szCs w:val="24"/>
        </w:rPr>
        <w:t>o planowaniu i zagospodarowaniu przestrzennym, „Plan miejscowy uchwala rada gminy, po stwierdzeniu, że nie narusza on ustaleń studium […]”. Projekt planu miejscowego w trakcie całej procedury może ewaluować i być dostosowywany do wymogów instytucji opiniujących i uzgadniających, wobec czego kluczowym dla planu miejscowego jest końcowy etap, tj. uchwalenie</w:t>
      </w:r>
      <w:r w:rsidR="00DD5B6B" w:rsidRPr="00C43C40">
        <w:rPr>
          <w:rFonts w:ascii="Times New Roman" w:hAnsi="Times New Roman" w:cs="Times New Roman"/>
          <w:sz w:val="24"/>
          <w:szCs w:val="24"/>
        </w:rPr>
        <w:t>,</w:t>
      </w:r>
      <w:r w:rsidRPr="00C43C40">
        <w:rPr>
          <w:rFonts w:ascii="Times New Roman" w:hAnsi="Times New Roman" w:cs="Times New Roman"/>
          <w:sz w:val="24"/>
          <w:szCs w:val="24"/>
        </w:rPr>
        <w:t xml:space="preserve"> w trakcie którego stwierdza się jego zgodność ze Studium. Powołując się na wyrok NSA z dnia 23 maja 2019 r.</w:t>
      </w:r>
      <w:r w:rsidR="00DD5B6B" w:rsidRPr="00C43C40">
        <w:rPr>
          <w:rFonts w:ascii="Times New Roman" w:hAnsi="Times New Roman" w:cs="Times New Roman"/>
          <w:sz w:val="24"/>
          <w:szCs w:val="24"/>
        </w:rPr>
        <w:t>, sygn. akt</w:t>
      </w:r>
      <w:r w:rsidRPr="00C43C40">
        <w:rPr>
          <w:rFonts w:ascii="Times New Roman" w:hAnsi="Times New Roman" w:cs="Times New Roman"/>
          <w:sz w:val="24"/>
          <w:szCs w:val="24"/>
        </w:rPr>
        <w:t xml:space="preserve"> II OSK 1353/18: „Zgodnie z art. 15 ust. 1 zdanie pierwsze ustawy o planowaniu i zagospodarowaniu przestrzennym wójt, burmistrz albo prezydent miasta sporządza projekt planu miejscowego, zawierający część tekstową i graficzną, zgodnie z zapisami studium oraz z przepisami odrębnymi, odnoszącymi się do obszaru objętego planem, wraz z uzasadnieniem. Zasadą jest więc, że projekt planu miejscowego sporządzany jest zgodnie z zapisami studium obowiązującymi w dacie sporządzania tego projektu. Przepis art. 20 ust. 1 ustawy stanowi natomiast, że plan miejscowy uchwala rada gminy, po stwierdzeniu, że nie narusza on ustaleń studium. Oznacza to, że przed podjęciem uchwały w przedmiocie miejscowego planu zagospodarowania przestrzennego (lub równocześnie z jej podjęciem) rada gminy ostatecznie stwierdza, że plan nie narusza ustaleń studium, gdyż możliwa jest sytuacja, że projekt planu na skutek wniesionych uwag ulegnie zmianie w trakcie procedury planistycznej lub zmianie takiej ulegnie studium. Należy mieć na uwadze, że procedury planistyczne są długotrwałe i skomplikowane, wymagają współpracy wielu organów, dlatego sytuacja w zakresie zgodności projektu planu ze studium może ulegać zmianie w trakcie trwania procedury. Jak wskazuje się w orzecznictwie Naczelnego Sądu Administracyjnego, wykładnia systemowa i celowościowa przepisów art. 15 ust. 1 i </w:t>
      </w:r>
      <w:r w:rsidR="00DD5B6B" w:rsidRPr="00C43C40">
        <w:rPr>
          <w:rFonts w:ascii="Times New Roman" w:hAnsi="Times New Roman" w:cs="Times New Roman"/>
          <w:sz w:val="24"/>
          <w:szCs w:val="24"/>
        </w:rPr>
        <w:t xml:space="preserve">art. </w:t>
      </w:r>
      <w:r w:rsidRPr="00C43C40">
        <w:rPr>
          <w:rFonts w:ascii="Times New Roman" w:hAnsi="Times New Roman" w:cs="Times New Roman"/>
          <w:sz w:val="24"/>
          <w:szCs w:val="24"/>
        </w:rPr>
        <w:t>20 ust. 1 ustawy o planowaniu i zagospodarowaniu przestrzennym prowadzi do wniosku, że dopuszczalne jest równoległe prowadzenie prac nad zmianą studium uwarunkowań i kierunków zagospodarowania przestrzennego gminy oraz zmianą planu miejscowego. Brak jest bowiem nakazu, aby na całym etapie procedury planistycznej projekt planu był zgodny ze studium. Temporalnie zmiana studium może nastąpić w każdym momencie procedury uchwalania planu, czyli także po sporządzeniu przez organ gminy projektu planu (</w:t>
      </w:r>
      <w:r w:rsidR="00DD5B6B" w:rsidRPr="00C43C40">
        <w:rPr>
          <w:rFonts w:ascii="Times New Roman" w:hAnsi="Times New Roman" w:cs="Times New Roman"/>
          <w:sz w:val="24"/>
          <w:szCs w:val="24"/>
        </w:rPr>
        <w:t xml:space="preserve">tak Naczelny Sąd Administracyjny w </w:t>
      </w:r>
      <w:r w:rsidRPr="00C43C40">
        <w:rPr>
          <w:rFonts w:ascii="Times New Roman" w:hAnsi="Times New Roman" w:cs="Times New Roman"/>
          <w:sz w:val="24"/>
          <w:szCs w:val="24"/>
        </w:rPr>
        <w:t>wyrok</w:t>
      </w:r>
      <w:r w:rsidR="00DD5B6B" w:rsidRPr="00C43C40">
        <w:rPr>
          <w:rFonts w:ascii="Times New Roman" w:hAnsi="Times New Roman" w:cs="Times New Roman"/>
          <w:sz w:val="24"/>
          <w:szCs w:val="24"/>
        </w:rPr>
        <w:t>ach</w:t>
      </w:r>
      <w:r w:rsidRPr="00C43C40">
        <w:rPr>
          <w:rFonts w:ascii="Times New Roman" w:hAnsi="Times New Roman" w:cs="Times New Roman"/>
          <w:sz w:val="24"/>
          <w:szCs w:val="24"/>
        </w:rPr>
        <w:t xml:space="preserve"> z </w:t>
      </w:r>
      <w:r w:rsidR="00DD5B6B" w:rsidRPr="00C43C40">
        <w:rPr>
          <w:rFonts w:ascii="Times New Roman" w:hAnsi="Times New Roman" w:cs="Times New Roman"/>
          <w:sz w:val="24"/>
          <w:szCs w:val="24"/>
        </w:rPr>
        <w:t xml:space="preserve">dnia </w:t>
      </w:r>
      <w:r w:rsidRPr="00C43C40">
        <w:rPr>
          <w:rFonts w:ascii="Times New Roman" w:hAnsi="Times New Roman" w:cs="Times New Roman"/>
          <w:sz w:val="24"/>
          <w:szCs w:val="24"/>
        </w:rPr>
        <w:t xml:space="preserve">22 grudnia 2011 r., </w:t>
      </w:r>
      <w:r w:rsidR="00DD5B6B" w:rsidRPr="00C43C40">
        <w:rPr>
          <w:rFonts w:ascii="Times New Roman" w:hAnsi="Times New Roman" w:cs="Times New Roman"/>
          <w:sz w:val="24"/>
          <w:szCs w:val="24"/>
        </w:rPr>
        <w:t xml:space="preserve">sygn. akt </w:t>
      </w:r>
      <w:r w:rsidRPr="00C43C40">
        <w:rPr>
          <w:rFonts w:ascii="Times New Roman" w:hAnsi="Times New Roman" w:cs="Times New Roman"/>
          <w:sz w:val="24"/>
          <w:szCs w:val="24"/>
        </w:rPr>
        <w:t xml:space="preserve">II OSK 2101/11, z </w:t>
      </w:r>
      <w:r w:rsidR="00DD5B6B" w:rsidRPr="00C43C40">
        <w:rPr>
          <w:rFonts w:ascii="Times New Roman" w:hAnsi="Times New Roman" w:cs="Times New Roman"/>
          <w:sz w:val="24"/>
          <w:szCs w:val="24"/>
        </w:rPr>
        <w:t xml:space="preserve">dnia </w:t>
      </w:r>
      <w:r w:rsidRPr="00C43C40">
        <w:rPr>
          <w:rFonts w:ascii="Times New Roman" w:hAnsi="Times New Roman" w:cs="Times New Roman"/>
          <w:sz w:val="24"/>
          <w:szCs w:val="24"/>
        </w:rPr>
        <w:t xml:space="preserve">17 stycznia 2018 r., </w:t>
      </w:r>
      <w:r w:rsidR="00DD5B6B" w:rsidRPr="00C43C40">
        <w:rPr>
          <w:rFonts w:ascii="Times New Roman" w:hAnsi="Times New Roman" w:cs="Times New Roman"/>
          <w:sz w:val="24"/>
          <w:szCs w:val="24"/>
        </w:rPr>
        <w:t xml:space="preserve">sygn. akt </w:t>
      </w:r>
      <w:r w:rsidRPr="00C43C40">
        <w:rPr>
          <w:rFonts w:ascii="Times New Roman" w:hAnsi="Times New Roman" w:cs="Times New Roman"/>
          <w:sz w:val="24"/>
          <w:szCs w:val="24"/>
        </w:rPr>
        <w:t xml:space="preserve">II OSK 821/16, z </w:t>
      </w:r>
      <w:r w:rsidR="00DD5B6B" w:rsidRPr="00C43C40">
        <w:rPr>
          <w:rFonts w:ascii="Times New Roman" w:hAnsi="Times New Roman" w:cs="Times New Roman"/>
          <w:sz w:val="24"/>
          <w:szCs w:val="24"/>
        </w:rPr>
        <w:t xml:space="preserve">dnia </w:t>
      </w:r>
      <w:r w:rsidRPr="00C43C40">
        <w:rPr>
          <w:rFonts w:ascii="Times New Roman" w:hAnsi="Times New Roman" w:cs="Times New Roman"/>
          <w:sz w:val="24"/>
          <w:szCs w:val="24"/>
        </w:rPr>
        <w:t xml:space="preserve">26 marca 2018 r., </w:t>
      </w:r>
      <w:r w:rsidR="00DD5B6B" w:rsidRPr="00C43C40">
        <w:rPr>
          <w:rFonts w:ascii="Times New Roman" w:hAnsi="Times New Roman" w:cs="Times New Roman"/>
          <w:sz w:val="24"/>
          <w:szCs w:val="24"/>
        </w:rPr>
        <w:t xml:space="preserve">sygn. akt </w:t>
      </w:r>
      <w:r w:rsidRPr="00C43C40">
        <w:rPr>
          <w:rFonts w:ascii="Times New Roman" w:hAnsi="Times New Roman" w:cs="Times New Roman"/>
          <w:sz w:val="24"/>
          <w:szCs w:val="24"/>
        </w:rPr>
        <w:t>II OSK 2451/17”.</w:t>
      </w:r>
    </w:p>
    <w:p w14:paraId="760EF9B0" w14:textId="77777777" w:rsidR="00C43C40" w:rsidRDefault="00C43C40" w:rsidP="00C43C40">
      <w:pPr>
        <w:autoSpaceDE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A04DAD" w14:textId="1F90AC86" w:rsidR="0011761E" w:rsidRPr="00C43C40" w:rsidRDefault="0011761E" w:rsidP="003F3807">
      <w:pPr>
        <w:autoSpaceDE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C40">
        <w:rPr>
          <w:rFonts w:ascii="Times New Roman" w:hAnsi="Times New Roman" w:cs="Times New Roman"/>
          <w:sz w:val="24"/>
          <w:szCs w:val="24"/>
        </w:rPr>
        <w:t>2.W §</w:t>
      </w:r>
      <w:r w:rsidR="00DD5B6B" w:rsidRPr="00C43C40">
        <w:rPr>
          <w:rFonts w:ascii="Times New Roman" w:hAnsi="Times New Roman" w:cs="Times New Roman"/>
          <w:sz w:val="24"/>
          <w:szCs w:val="24"/>
        </w:rPr>
        <w:t xml:space="preserve"> </w:t>
      </w:r>
      <w:r w:rsidRPr="00C43C40">
        <w:rPr>
          <w:rFonts w:ascii="Times New Roman" w:hAnsi="Times New Roman" w:cs="Times New Roman"/>
          <w:sz w:val="24"/>
          <w:szCs w:val="24"/>
        </w:rPr>
        <w:t xml:space="preserve">2 </w:t>
      </w:r>
      <w:r w:rsidR="00DD5B6B" w:rsidRPr="00C43C40">
        <w:rPr>
          <w:rFonts w:ascii="Times New Roman" w:hAnsi="Times New Roman" w:cs="Times New Roman"/>
          <w:sz w:val="24"/>
          <w:szCs w:val="24"/>
        </w:rPr>
        <w:t xml:space="preserve">uchwały </w:t>
      </w:r>
      <w:r w:rsidRPr="00C43C40">
        <w:rPr>
          <w:rFonts w:ascii="Times New Roman" w:hAnsi="Times New Roman" w:cs="Times New Roman"/>
          <w:sz w:val="24"/>
          <w:szCs w:val="24"/>
        </w:rPr>
        <w:t>zdefiniowano pojęcia, które zastosowane zostały w treści planu miejscowego. Wśród definicji pojawia się pojęcie „intensywności zabudowy”, które pokrywa się z użytym w ustawie o planowaniu i zagospodarowaniu przestrzennym stwierdzeniem, że plan miejscowy określa „maksymalną i minimalną intensywność zabudowy jako wskaźnik powierzchni całkowitej zabudowy w odniesieniu do powierzchni działki budowlanej”. Definicja zastosowana w planie miejscowym w pełni odzwierciedla ten fragment ustawy, uszczegóławiając jedynie, że pod uwagę należy wziąć powierzchnię całkowitą wszystkich budynków na działce, w celu uniknięcia rozbieżności interpretacyjnych przy konsumowaniu zapisów planu. Wobec powyższego zdefiniowano</w:t>
      </w:r>
      <w:r w:rsidR="00DD5B6B" w:rsidRPr="00C43C40">
        <w:rPr>
          <w:rFonts w:ascii="Times New Roman" w:hAnsi="Times New Roman" w:cs="Times New Roman"/>
          <w:sz w:val="24"/>
          <w:szCs w:val="24"/>
        </w:rPr>
        <w:t>,</w:t>
      </w:r>
      <w:r w:rsidRPr="00C43C40">
        <w:rPr>
          <w:rFonts w:ascii="Times New Roman" w:hAnsi="Times New Roman" w:cs="Times New Roman"/>
          <w:sz w:val="24"/>
          <w:szCs w:val="24"/>
        </w:rPr>
        <w:t xml:space="preserve"> czym w niniejszym planie jest powierzchnia całkowitej zabudowy</w:t>
      </w:r>
      <w:r w:rsidR="00DD5B6B" w:rsidRPr="00C43C40">
        <w:rPr>
          <w:rFonts w:ascii="Times New Roman" w:hAnsi="Times New Roman" w:cs="Times New Roman"/>
          <w:sz w:val="24"/>
          <w:szCs w:val="24"/>
        </w:rPr>
        <w:t>,</w:t>
      </w:r>
      <w:r w:rsidRPr="00C43C40">
        <w:rPr>
          <w:rFonts w:ascii="Times New Roman" w:hAnsi="Times New Roman" w:cs="Times New Roman"/>
          <w:sz w:val="24"/>
          <w:szCs w:val="24"/>
        </w:rPr>
        <w:t xml:space="preserve"> i zgodnie z nią określono w planie </w:t>
      </w:r>
      <w:r w:rsidRPr="00C43C40">
        <w:rPr>
          <w:rFonts w:ascii="Times New Roman" w:hAnsi="Times New Roman" w:cs="Times New Roman"/>
          <w:sz w:val="24"/>
          <w:szCs w:val="24"/>
        </w:rPr>
        <w:lastRenderedPageBreak/>
        <w:t>parametry. Pojęcie intensywności zabudowy nie jest powszechnie znanym i rozumianym, a zastosowanie tej definicji w planie miało na celu jedynie ułatwienie i uczytelnienie zapisów planu dla zwykłego odbiorcy. Wobec powyższego trudno zgodzić się ze stwierdzeniem ujętym w uzasadnieniu do wyroku W</w:t>
      </w:r>
      <w:r w:rsidR="00DD5B6B" w:rsidRPr="00C43C40">
        <w:rPr>
          <w:rFonts w:ascii="Times New Roman" w:hAnsi="Times New Roman" w:cs="Times New Roman"/>
          <w:sz w:val="24"/>
          <w:szCs w:val="24"/>
        </w:rPr>
        <w:t xml:space="preserve">ojewódzkiego </w:t>
      </w:r>
      <w:r w:rsidRPr="00C43C40">
        <w:rPr>
          <w:rFonts w:ascii="Times New Roman" w:hAnsi="Times New Roman" w:cs="Times New Roman"/>
          <w:sz w:val="24"/>
          <w:szCs w:val="24"/>
        </w:rPr>
        <w:t>S</w:t>
      </w:r>
      <w:r w:rsidR="00DD5B6B" w:rsidRPr="00C43C40">
        <w:rPr>
          <w:rFonts w:ascii="Times New Roman" w:hAnsi="Times New Roman" w:cs="Times New Roman"/>
          <w:sz w:val="24"/>
          <w:szCs w:val="24"/>
        </w:rPr>
        <w:t xml:space="preserve">ądu </w:t>
      </w:r>
      <w:r w:rsidRPr="00C43C40">
        <w:rPr>
          <w:rFonts w:ascii="Times New Roman" w:hAnsi="Times New Roman" w:cs="Times New Roman"/>
          <w:sz w:val="24"/>
          <w:szCs w:val="24"/>
        </w:rPr>
        <w:t>A</w:t>
      </w:r>
      <w:r w:rsidR="00DD5B6B" w:rsidRPr="00C43C40">
        <w:rPr>
          <w:rFonts w:ascii="Times New Roman" w:hAnsi="Times New Roman" w:cs="Times New Roman"/>
          <w:sz w:val="24"/>
          <w:szCs w:val="24"/>
        </w:rPr>
        <w:t xml:space="preserve">dministracyjnego w Bydgoszczy, </w:t>
      </w:r>
      <w:r w:rsidRPr="00C43C40">
        <w:rPr>
          <w:rFonts w:ascii="Times New Roman" w:hAnsi="Times New Roman" w:cs="Times New Roman"/>
          <w:sz w:val="24"/>
          <w:szCs w:val="24"/>
        </w:rPr>
        <w:t>jakoby „Brak zdefiniowania jakiegoś pojęcia przez ustawodawcę oznacza jego świadomą decyzję, że dane pojęcie to powinno być rozumiane tak jak rozumie się go powszechnie</w:t>
      </w:r>
      <w:r w:rsidR="00DD5B6B" w:rsidRPr="00C43C40">
        <w:rPr>
          <w:rFonts w:ascii="Times New Roman" w:hAnsi="Times New Roman" w:cs="Times New Roman"/>
          <w:sz w:val="24"/>
          <w:szCs w:val="24"/>
        </w:rPr>
        <w:t>.</w:t>
      </w:r>
      <w:r w:rsidRPr="00C43C40">
        <w:rPr>
          <w:rFonts w:ascii="Times New Roman" w:hAnsi="Times New Roman" w:cs="Times New Roman"/>
          <w:sz w:val="24"/>
          <w:szCs w:val="24"/>
        </w:rPr>
        <w:t>”. Pojęcia związane z planowaniem przestrzennym czy też budownictwem, które zostały zdefiniowane przez ustawodawcę częstokroć powodują roz</w:t>
      </w:r>
      <w:r w:rsidR="00DD5B6B" w:rsidRPr="00C43C40">
        <w:rPr>
          <w:rFonts w:ascii="Times New Roman" w:hAnsi="Times New Roman" w:cs="Times New Roman"/>
          <w:sz w:val="24"/>
          <w:szCs w:val="24"/>
        </w:rPr>
        <w:t>bi</w:t>
      </w:r>
      <w:r w:rsidRPr="00C43C40">
        <w:rPr>
          <w:rFonts w:ascii="Times New Roman" w:hAnsi="Times New Roman" w:cs="Times New Roman"/>
          <w:sz w:val="24"/>
          <w:szCs w:val="24"/>
        </w:rPr>
        <w:t>e</w:t>
      </w:r>
      <w:r w:rsidR="00DD5B6B" w:rsidRPr="00C43C40">
        <w:rPr>
          <w:rFonts w:ascii="Times New Roman" w:hAnsi="Times New Roman" w:cs="Times New Roman"/>
          <w:sz w:val="24"/>
          <w:szCs w:val="24"/>
        </w:rPr>
        <w:t>żnośc</w:t>
      </w:r>
      <w:r w:rsidRPr="00C43C40">
        <w:rPr>
          <w:rFonts w:ascii="Times New Roman" w:hAnsi="Times New Roman" w:cs="Times New Roman"/>
          <w:sz w:val="24"/>
          <w:szCs w:val="24"/>
        </w:rPr>
        <w:t xml:space="preserve">i interpretacyjne wśród osób je konsumujących, natomiast interpretacja pojęć niezdefiniowanych przez ustawodawcę sprawia </w:t>
      </w:r>
      <w:r w:rsidR="00DD5B6B" w:rsidRPr="00C43C40">
        <w:rPr>
          <w:rFonts w:ascii="Times New Roman" w:hAnsi="Times New Roman" w:cs="Times New Roman"/>
          <w:sz w:val="24"/>
          <w:szCs w:val="24"/>
        </w:rPr>
        <w:t xml:space="preserve">jeszcze </w:t>
      </w:r>
      <w:r w:rsidRPr="00C43C40">
        <w:rPr>
          <w:rFonts w:ascii="Times New Roman" w:hAnsi="Times New Roman" w:cs="Times New Roman"/>
          <w:sz w:val="24"/>
          <w:szCs w:val="24"/>
        </w:rPr>
        <w:t xml:space="preserve">większe problemy interpretacyjne. Idąc tokiem rozumowania przedstawionym w uzasadnieniu do wyroku </w:t>
      </w:r>
      <w:r w:rsidR="00DD5B6B" w:rsidRPr="00C43C40">
        <w:rPr>
          <w:rFonts w:ascii="Times New Roman" w:hAnsi="Times New Roman" w:cs="Times New Roman"/>
          <w:sz w:val="24"/>
          <w:szCs w:val="24"/>
        </w:rPr>
        <w:t>Wojewódzkiego Sądu Administracyjnego w Bydgoszczy</w:t>
      </w:r>
      <w:r w:rsidRPr="00C43C40">
        <w:rPr>
          <w:rFonts w:ascii="Times New Roman" w:hAnsi="Times New Roman" w:cs="Times New Roman"/>
          <w:sz w:val="24"/>
          <w:szCs w:val="24"/>
        </w:rPr>
        <w:t xml:space="preserve">, w planie miejscowym nie powinno powielać się definicji określonych przez ustawodawcę oraz nie powinno się definiować pojęć niezdefiniowanych przez ustawodawcę, tj. w planie miejscowym nie powinno zawierać się żadnych definicji. Trudno zgodzić się z powyższym, gdyż w ocenie organu, który na co dzień posługuje się planami miejscowymi i ma bezpośredni kontakt z ich odbiorcami, wskazanie w planie miejscowym definicji jest niezbędne dla ułatwienia czytelności tego dokumentu. </w:t>
      </w:r>
    </w:p>
    <w:p w14:paraId="378DC734" w14:textId="77777777" w:rsidR="00C43C40" w:rsidRDefault="00C43C40" w:rsidP="003F3807">
      <w:pPr>
        <w:autoSpaceDE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89CCDA" w14:textId="69AED7D0" w:rsidR="00A27BC6" w:rsidRPr="00A27BC6" w:rsidRDefault="00DD5B6B" w:rsidP="00A27BC6">
      <w:pPr>
        <w:autoSpaceDE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52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A27BC6" w:rsidRPr="00A27BC6">
        <w:rPr>
          <w:rFonts w:ascii="Times New Roman" w:hAnsi="Times New Roman" w:cs="Times New Roman"/>
          <w:sz w:val="24"/>
          <w:szCs w:val="24"/>
        </w:rPr>
        <w:t>W §</w:t>
      </w:r>
      <w:r w:rsidR="00A27BC6">
        <w:rPr>
          <w:rFonts w:ascii="Times New Roman" w:hAnsi="Times New Roman" w:cs="Times New Roman"/>
          <w:sz w:val="24"/>
          <w:szCs w:val="24"/>
        </w:rPr>
        <w:t xml:space="preserve"> </w:t>
      </w:r>
      <w:r w:rsidR="00A27BC6" w:rsidRPr="00A27BC6">
        <w:rPr>
          <w:rFonts w:ascii="Times New Roman" w:hAnsi="Times New Roman" w:cs="Times New Roman"/>
          <w:sz w:val="24"/>
          <w:szCs w:val="24"/>
        </w:rPr>
        <w:t>7 pkt 2 lit.</w:t>
      </w:r>
      <w:r w:rsidR="00F23523">
        <w:rPr>
          <w:rFonts w:ascii="Times New Roman" w:hAnsi="Times New Roman" w:cs="Times New Roman"/>
          <w:sz w:val="24"/>
          <w:szCs w:val="24"/>
        </w:rPr>
        <w:t xml:space="preserve"> </w:t>
      </w:r>
      <w:r w:rsidR="00A27BC6" w:rsidRPr="00A27BC6">
        <w:rPr>
          <w:rFonts w:ascii="Times New Roman" w:hAnsi="Times New Roman" w:cs="Times New Roman"/>
          <w:sz w:val="24"/>
          <w:szCs w:val="24"/>
        </w:rPr>
        <w:t xml:space="preserve">b wprowadzono zapis wynikający z wymagań konserwatorskich, które warunkowały uzgodnienie projektu planu. Dotyczy on zakazu wtórnych podziałów geodezyjnych niezgodnych z historyczną parcelacją, wyłącznie dla fragmentu terenu ZP/U, w granicach nieczynnego cmentarza ewangelickiego ujętego w gminnej i wojewódzkiej ewidencji zabytków. Na pozostałym terenie możliwa jest realizacja zabudowy kubaturowej, do której odnoszą się wskaźniki i parametry zagospodarowania. Jak wspomniano, uwzględnienie tego zapisu warunkowało uzyskanie pozytywnego uzgodnienia od Wojewódzkiego Konserwatora Zabytków. Warto też podkreślić, że </w:t>
      </w:r>
      <w:r w:rsidR="00F23523">
        <w:rPr>
          <w:rFonts w:ascii="Times New Roman" w:hAnsi="Times New Roman" w:cs="Times New Roman"/>
          <w:sz w:val="24"/>
          <w:szCs w:val="24"/>
        </w:rPr>
        <w:t>uregulowan</w:t>
      </w:r>
      <w:r w:rsidR="00A27BC6" w:rsidRPr="00A27BC6">
        <w:rPr>
          <w:rFonts w:ascii="Times New Roman" w:hAnsi="Times New Roman" w:cs="Times New Roman"/>
          <w:sz w:val="24"/>
          <w:szCs w:val="24"/>
        </w:rPr>
        <w:t>i</w:t>
      </w:r>
      <w:r w:rsidR="00F23523">
        <w:rPr>
          <w:rFonts w:ascii="Times New Roman" w:hAnsi="Times New Roman" w:cs="Times New Roman"/>
          <w:sz w:val="24"/>
          <w:szCs w:val="24"/>
        </w:rPr>
        <w:t>e</w:t>
      </w:r>
      <w:r w:rsidR="00A27BC6" w:rsidRPr="00A27BC6">
        <w:rPr>
          <w:rFonts w:ascii="Times New Roman" w:hAnsi="Times New Roman" w:cs="Times New Roman"/>
          <w:sz w:val="24"/>
          <w:szCs w:val="24"/>
        </w:rPr>
        <w:t xml:space="preserve"> t</w:t>
      </w:r>
      <w:r w:rsidR="00F23523">
        <w:rPr>
          <w:rFonts w:ascii="Times New Roman" w:hAnsi="Times New Roman" w:cs="Times New Roman"/>
          <w:sz w:val="24"/>
          <w:szCs w:val="24"/>
        </w:rPr>
        <w:t>o</w:t>
      </w:r>
      <w:r w:rsidR="00A27BC6" w:rsidRPr="00A27BC6">
        <w:rPr>
          <w:rFonts w:ascii="Times New Roman" w:hAnsi="Times New Roman" w:cs="Times New Roman"/>
          <w:sz w:val="24"/>
          <w:szCs w:val="24"/>
        </w:rPr>
        <w:t xml:space="preserve"> nie ma wpływu na funkcjonowanie całej uchwały.</w:t>
      </w:r>
    </w:p>
    <w:p w14:paraId="3384E0D1" w14:textId="3104CE2A" w:rsidR="00302E24" w:rsidRPr="00302E24" w:rsidRDefault="00A27BC6" w:rsidP="003F3807">
      <w:pPr>
        <w:pStyle w:val="Nagwek2"/>
        <w:spacing w:before="24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4.</w:t>
      </w:r>
      <w:r w:rsidR="00C43C40" w:rsidRPr="000051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Skarżący </w:t>
      </w:r>
      <w:r w:rsidR="00DD5B6B" w:rsidRPr="000051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Wojew</w:t>
      </w:r>
      <w:r w:rsidR="00C43C40" w:rsidRPr="000051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</w:t>
      </w:r>
      <w:r w:rsidR="00DD5B6B" w:rsidRPr="000051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</w:t>
      </w:r>
      <w:r w:rsidR="00C43C40" w:rsidRPr="000051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a Kujawsko-Pomorski w złożonej do Wojewódzkiego Sądu Administracyjnego w Bydgoszczy skardze zarzucił Radzie Gminy Nowa Wieś Wielka naruszenie przepisu § 8 ust. 2 rozporządzenie Ministra Infrastruktury </w:t>
      </w:r>
      <w:r w:rsidR="00C43C40" w:rsidRPr="0000516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 xml:space="preserve">z dnia 26 sierpnia 2003 r. </w:t>
      </w:r>
      <w:r w:rsidR="00C43C40" w:rsidRPr="00280AE8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>w sprawie wymaganego zakresu projektu miejscowego planu zagospodarowania przestrzennego</w:t>
      </w:r>
      <w:r w:rsidR="00C43C40" w:rsidRPr="0000516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 xml:space="preserve"> (Dz.U. Nr 164, poz. 1587), jednak wskazać należy, że przepis ten został uchylony w dniu 24 grudnia 2021 r., a więc jeszcze przed wydaniem orzeczenia sądowego. Zgodnie bowiem </w:t>
      </w:r>
      <w:r w:rsidR="00302E24" w:rsidRPr="0000516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z art. 86 ustawy z dnia 19 czerwca 2020 r. </w:t>
      </w:r>
      <w:r w:rsidR="00302E24" w:rsidRPr="00302E2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>o dopłatach do oprocentowania kredytów bankowych udzielanych przedsiębiorcom dotkniętym skutkami COVID-19 oraz o uproszczonym postępowaniu o zatwierdzenie układu w związku z wystąpieniem COVID-19</w:t>
      </w:r>
      <w:r w:rsidR="00302E24" w:rsidRPr="0000516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 xml:space="preserve"> (Dz.U. z 2020 r. poz. 2141) „</w:t>
      </w:r>
      <w:r w:rsidR="00302E24" w:rsidRPr="000051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Dotychczasowe przepisy wykonawcze wydane na podstawie </w:t>
      </w:r>
      <w:hyperlink r:id="rId8" w:anchor="/document/17027058?unitId=art(10)ust(4)&amp;cm=DOCUMENT" w:history="1">
        <w:r w:rsidR="00302E24" w:rsidRPr="00005165">
          <w:rPr>
            <w:rStyle w:val="Hipercze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art. 10 ust. 4</w:t>
        </w:r>
      </w:hyperlink>
      <w:r w:rsidR="00302E24" w:rsidRPr="000051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i </w:t>
      </w:r>
      <w:hyperlink r:id="rId9" w:anchor="/document/17027058?unitId=art(16)ust(2)&amp;cm=DOCUMENT" w:history="1">
        <w:r w:rsidR="00302E24" w:rsidRPr="00005165">
          <w:rPr>
            <w:rStyle w:val="Hipercze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art. 16 ust. 2</w:t>
        </w:r>
      </w:hyperlink>
      <w:r w:rsidR="00302E24" w:rsidRPr="000051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ustawy zmienianej w art. 47 zachowują moc do dnia wejścia w życie przepisów wykonawczych wydanych na podstawie </w:t>
      </w:r>
      <w:hyperlink r:id="rId10" w:anchor="/document/17027058?unitId=art(10)ust(4)&amp;cm=DOCUMENT" w:history="1">
        <w:r w:rsidR="00302E24" w:rsidRPr="00005165">
          <w:rPr>
            <w:rStyle w:val="Hipercze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art. 10 ust. 4</w:t>
        </w:r>
      </w:hyperlink>
      <w:r w:rsidR="00302E24" w:rsidRPr="000051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i </w:t>
      </w:r>
      <w:hyperlink r:id="rId11" w:anchor="/document/17027058?unitId=art(16)ust(2)&amp;cm=DOCUMENT" w:history="1">
        <w:r w:rsidR="00302E24" w:rsidRPr="00005165">
          <w:rPr>
            <w:rStyle w:val="Hipercze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art. 16 ust. 2</w:t>
        </w:r>
      </w:hyperlink>
      <w:r w:rsidR="00302E24" w:rsidRPr="000051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ustawy zmienianej w art. 47, jednak nie dłużej niż przez 18 miesięcy od dnia wejścia w życie niniejszej ustawy, i mogą być zmieniane w granicach określonych w </w:t>
      </w:r>
      <w:hyperlink r:id="rId12" w:anchor="/document/17027058?unitId=art(10)ust(4)&amp;cm=DOCUMENT" w:history="1">
        <w:r w:rsidR="00302E24" w:rsidRPr="00005165">
          <w:rPr>
            <w:rStyle w:val="Hipercze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art. 10 ust. 4</w:t>
        </w:r>
      </w:hyperlink>
      <w:r w:rsidR="00302E24" w:rsidRPr="000051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i </w:t>
      </w:r>
      <w:hyperlink r:id="rId13" w:anchor="/document/17027058?unitId=art(16)ust(2)&amp;cm=DOCUMENT" w:history="1">
        <w:r w:rsidR="00302E24" w:rsidRPr="00005165">
          <w:rPr>
            <w:rStyle w:val="Hipercze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art. 16 ust. 2</w:t>
        </w:r>
      </w:hyperlink>
      <w:r w:rsidR="00302E24" w:rsidRPr="000051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ustawy zmienianej w art. 47.”, natomiast nowe rozporządzenie </w:t>
      </w:r>
      <w:r w:rsidR="00CA3098" w:rsidRPr="000051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Ministra  Rozwoju i Technologii </w:t>
      </w:r>
      <w:r w:rsidR="00CA3098" w:rsidRPr="0000516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 xml:space="preserve">z dnia 17 grudnia 2021 r. </w:t>
      </w:r>
      <w:r w:rsidR="00CA3098" w:rsidRPr="00CA3098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>w sprawie wymaganego zakresu projektu miejscowego planu zagospodarowania przestrzennego</w:t>
      </w:r>
      <w:r w:rsidR="0000516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 xml:space="preserve"> w</w:t>
      </w:r>
      <w:r w:rsidR="00CA3098" w:rsidRPr="000051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eszło </w:t>
      </w:r>
      <w:r w:rsidR="000051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 życie 24 grudnia 2021 r.</w:t>
      </w:r>
      <w:r w:rsidR="00CA3098" w:rsidRPr="000051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a więc nie powinno mieć zastosowania w niniejszej sprawie</w:t>
      </w:r>
      <w:r w:rsidR="000051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CA3098" w:rsidRPr="000051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02E24" w:rsidRPr="000051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14:paraId="61DAA902" w14:textId="61E9C5B7" w:rsidR="00FD4CD7" w:rsidRPr="00005165" w:rsidRDefault="00C43C40" w:rsidP="00C43C40">
      <w:pPr>
        <w:autoSpaceDE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05165">
        <w:rPr>
          <w:rFonts w:ascii="Times New Roman" w:hAnsi="Times New Roman" w:cs="Times New Roman"/>
          <w:sz w:val="24"/>
          <w:szCs w:val="24"/>
        </w:rPr>
        <w:t xml:space="preserve"> </w:t>
      </w:r>
      <w:r w:rsidR="00DD5B6B" w:rsidRPr="000051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4AFDD" w14:textId="01D5CED9" w:rsidR="00FD4CD7" w:rsidRDefault="003F3807" w:rsidP="00C43C40">
      <w:pPr>
        <w:autoSpaceDE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807">
        <w:rPr>
          <w:rFonts w:ascii="Times New Roman" w:hAnsi="Times New Roman" w:cs="Times New Roman"/>
          <w:sz w:val="24"/>
          <w:szCs w:val="24"/>
        </w:rPr>
        <w:t>W związku z powyższym wnoszę jak w alternatywnym wniosku w pkt 1 i 2 petitum skargi.</w:t>
      </w:r>
    </w:p>
    <w:p w14:paraId="0F69FF32" w14:textId="4BD9E9F4" w:rsidR="003F3807" w:rsidRDefault="003F3807" w:rsidP="003F3807">
      <w:pPr>
        <w:autoSpaceDE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Otrzymują:</w:t>
      </w:r>
    </w:p>
    <w:p w14:paraId="01F1219E" w14:textId="689C8B29" w:rsidR="003F3807" w:rsidRDefault="003F3807" w:rsidP="003F3807">
      <w:pPr>
        <w:autoSpaceDE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1.adresat wraz z odpisem skargi (3 egz.),</w:t>
      </w:r>
    </w:p>
    <w:p w14:paraId="137E1FF4" w14:textId="58939496" w:rsidR="003F3807" w:rsidRPr="00005165" w:rsidRDefault="003F3807" w:rsidP="003F3807">
      <w:pPr>
        <w:autoSpaceDE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2.a/a.</w:t>
      </w:r>
    </w:p>
    <w:p w14:paraId="41BB9DDB" w14:textId="77777777" w:rsidR="00FD4CD7" w:rsidRPr="00C43C40" w:rsidRDefault="00FD4CD7" w:rsidP="00C43C40">
      <w:pPr>
        <w:autoSpaceDE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A3BBF7" w14:textId="77777777" w:rsidR="00FD4CD7" w:rsidRPr="00C43C40" w:rsidRDefault="00FD4CD7" w:rsidP="00C43C40">
      <w:pPr>
        <w:autoSpaceDE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6ED1AB" w14:textId="77777777" w:rsidR="00FD4CD7" w:rsidRPr="00C43C40" w:rsidRDefault="00FD4CD7" w:rsidP="00C43C40">
      <w:pPr>
        <w:autoSpaceDE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6E45EC" w14:textId="77777777" w:rsidR="00FD4CD7" w:rsidRDefault="00FD4CD7" w:rsidP="00C43C40">
      <w:pPr>
        <w:autoSpaceDE w:val="0"/>
        <w:adjustRightInd w:val="0"/>
        <w:spacing w:after="0" w:line="360" w:lineRule="auto"/>
        <w:contextualSpacing/>
        <w:jc w:val="both"/>
      </w:pPr>
    </w:p>
    <w:p w14:paraId="2C7D1613" w14:textId="77777777" w:rsidR="00FD4CD7" w:rsidRDefault="00FD4CD7" w:rsidP="00C43C40">
      <w:pPr>
        <w:autoSpaceDE w:val="0"/>
        <w:adjustRightInd w:val="0"/>
        <w:spacing w:after="0" w:line="360" w:lineRule="auto"/>
        <w:contextualSpacing/>
        <w:jc w:val="both"/>
      </w:pPr>
    </w:p>
    <w:p w14:paraId="55C4983D" w14:textId="77777777" w:rsidR="00FD4CD7" w:rsidRDefault="00FD4CD7" w:rsidP="00C43C40">
      <w:pPr>
        <w:autoSpaceDE w:val="0"/>
        <w:adjustRightInd w:val="0"/>
        <w:spacing w:after="0" w:line="360" w:lineRule="auto"/>
        <w:contextualSpacing/>
        <w:jc w:val="both"/>
      </w:pPr>
    </w:p>
    <w:p w14:paraId="721144FB" w14:textId="77777777" w:rsidR="00FD4CD7" w:rsidRDefault="00FD4CD7" w:rsidP="00C43C40">
      <w:pPr>
        <w:autoSpaceDE w:val="0"/>
        <w:adjustRightInd w:val="0"/>
        <w:spacing w:after="0" w:line="360" w:lineRule="auto"/>
        <w:contextualSpacing/>
        <w:jc w:val="both"/>
      </w:pPr>
    </w:p>
    <w:p w14:paraId="1B9055CF" w14:textId="77777777" w:rsidR="00FD4CD7" w:rsidRDefault="00FD4CD7" w:rsidP="00C43C40">
      <w:pPr>
        <w:autoSpaceDE w:val="0"/>
        <w:adjustRightInd w:val="0"/>
        <w:spacing w:after="0" w:line="360" w:lineRule="auto"/>
        <w:contextualSpacing/>
        <w:jc w:val="both"/>
      </w:pPr>
    </w:p>
    <w:p w14:paraId="0B38AD29" w14:textId="77777777" w:rsidR="00FD4CD7" w:rsidRDefault="00FD4CD7" w:rsidP="00C43C40">
      <w:pPr>
        <w:autoSpaceDE w:val="0"/>
        <w:adjustRightInd w:val="0"/>
        <w:spacing w:after="0" w:line="360" w:lineRule="auto"/>
        <w:contextualSpacing/>
        <w:jc w:val="both"/>
      </w:pPr>
    </w:p>
    <w:p w14:paraId="77507A46" w14:textId="77777777" w:rsidR="00FD4CD7" w:rsidRDefault="00FD4CD7" w:rsidP="00C43C40">
      <w:pPr>
        <w:autoSpaceDE w:val="0"/>
        <w:autoSpaceDN w:val="0"/>
        <w:adjustRightInd w:val="0"/>
        <w:spacing w:after="0" w:line="360" w:lineRule="auto"/>
        <w:jc w:val="both"/>
      </w:pPr>
    </w:p>
    <w:p w14:paraId="0751CB51" w14:textId="77777777" w:rsidR="00253A62" w:rsidRDefault="00253A62" w:rsidP="00C43C40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14:paraId="3F164604" w14:textId="77777777" w:rsidR="00DD5B6B" w:rsidRDefault="00DD5B6B" w:rsidP="00DC10D6">
      <w:pPr>
        <w:pStyle w:val="Default"/>
        <w:jc w:val="right"/>
        <w:rPr>
          <w:rFonts w:ascii="Times New Roman" w:hAnsi="Times New Roman" w:cs="Times New Roman"/>
        </w:rPr>
      </w:pPr>
    </w:p>
    <w:sectPr w:rsidR="00DD5B6B" w:rsidSect="00F9407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2E8DC" w14:textId="77777777" w:rsidR="00766F25" w:rsidRDefault="00766F25" w:rsidP="0009223B">
      <w:pPr>
        <w:spacing w:after="0" w:line="240" w:lineRule="auto"/>
      </w:pPr>
      <w:r>
        <w:separator/>
      </w:r>
    </w:p>
  </w:endnote>
  <w:endnote w:type="continuationSeparator" w:id="0">
    <w:p w14:paraId="4C326B27" w14:textId="77777777" w:rsidR="00766F25" w:rsidRDefault="00766F25" w:rsidP="0009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D986A" w14:textId="77777777" w:rsidR="00766F25" w:rsidRDefault="00766F25" w:rsidP="0009223B">
      <w:pPr>
        <w:spacing w:after="0" w:line="240" w:lineRule="auto"/>
      </w:pPr>
      <w:r>
        <w:separator/>
      </w:r>
    </w:p>
  </w:footnote>
  <w:footnote w:type="continuationSeparator" w:id="0">
    <w:p w14:paraId="4664B521" w14:textId="77777777" w:rsidR="00766F25" w:rsidRDefault="00766F25" w:rsidP="00092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539E"/>
    <w:multiLevelType w:val="hybridMultilevel"/>
    <w:tmpl w:val="A176D340"/>
    <w:lvl w:ilvl="0" w:tplc="0900A61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264A29"/>
    <w:multiLevelType w:val="multilevel"/>
    <w:tmpl w:val="91D660B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08D750F7"/>
    <w:multiLevelType w:val="multilevel"/>
    <w:tmpl w:val="A5703D9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0BF45412"/>
    <w:multiLevelType w:val="hybridMultilevel"/>
    <w:tmpl w:val="5FAA50AA"/>
    <w:lvl w:ilvl="0" w:tplc="A1F23B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E17DF3"/>
    <w:multiLevelType w:val="hybridMultilevel"/>
    <w:tmpl w:val="5DC4B87A"/>
    <w:lvl w:ilvl="0" w:tplc="CAE42C22">
      <w:start w:val="1"/>
      <w:numFmt w:val="lowerLetter"/>
      <w:lvlText w:val="%1)"/>
      <w:lvlJc w:val="left"/>
      <w:pPr>
        <w:ind w:left="5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5" w15:restartNumberingAfterBreak="0">
    <w:nsid w:val="12FC0F5B"/>
    <w:multiLevelType w:val="hybridMultilevel"/>
    <w:tmpl w:val="488A3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67AD"/>
    <w:multiLevelType w:val="multilevel"/>
    <w:tmpl w:val="52201D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7" w15:restartNumberingAfterBreak="0">
    <w:nsid w:val="1D435B97"/>
    <w:multiLevelType w:val="multilevel"/>
    <w:tmpl w:val="CEF0436C"/>
    <w:lvl w:ilvl="0">
      <w:start w:val="5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8" w15:restartNumberingAfterBreak="0">
    <w:nsid w:val="1D655B69"/>
    <w:multiLevelType w:val="multilevel"/>
    <w:tmpl w:val="0D168AF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9" w15:restartNumberingAfterBreak="0">
    <w:nsid w:val="25CE1BA1"/>
    <w:multiLevelType w:val="hybridMultilevel"/>
    <w:tmpl w:val="59F69604"/>
    <w:lvl w:ilvl="0" w:tplc="CAE42C22">
      <w:start w:val="1"/>
      <w:numFmt w:val="lowerLetter"/>
      <w:lvlText w:val="%1)"/>
      <w:lvlJc w:val="left"/>
      <w:pPr>
        <w:ind w:left="9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46679"/>
    <w:multiLevelType w:val="multilevel"/>
    <w:tmpl w:val="F60856B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1" w15:restartNumberingAfterBreak="0">
    <w:nsid w:val="377F3E87"/>
    <w:multiLevelType w:val="hybridMultilevel"/>
    <w:tmpl w:val="78C22F38"/>
    <w:lvl w:ilvl="0" w:tplc="2D0EC1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CC34804"/>
    <w:multiLevelType w:val="multilevel"/>
    <w:tmpl w:val="1B8044B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3" w15:restartNumberingAfterBreak="0">
    <w:nsid w:val="3D413852"/>
    <w:multiLevelType w:val="hybridMultilevel"/>
    <w:tmpl w:val="09929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43B02"/>
    <w:multiLevelType w:val="hybridMultilevel"/>
    <w:tmpl w:val="18F275F8"/>
    <w:lvl w:ilvl="0" w:tplc="078A7B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C313AD"/>
    <w:multiLevelType w:val="hybridMultilevel"/>
    <w:tmpl w:val="8A069E84"/>
    <w:lvl w:ilvl="0" w:tplc="9E78F6A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0949C7"/>
    <w:multiLevelType w:val="multilevel"/>
    <w:tmpl w:val="5C06E9C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7" w15:restartNumberingAfterBreak="0">
    <w:nsid w:val="51B67E8B"/>
    <w:multiLevelType w:val="hybridMultilevel"/>
    <w:tmpl w:val="DBE45A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066B4"/>
    <w:multiLevelType w:val="multilevel"/>
    <w:tmpl w:val="F6E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&amp;quot" w:eastAsia="Times New Roman" w:hAnsi="&amp;quot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36797"/>
    <w:multiLevelType w:val="multilevel"/>
    <w:tmpl w:val="C5DAC05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0" w15:restartNumberingAfterBreak="0">
    <w:nsid w:val="6B9B7485"/>
    <w:multiLevelType w:val="multilevel"/>
    <w:tmpl w:val="D6702E86"/>
    <w:lvl w:ilvl="0">
      <w:start w:val="8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1" w15:restartNumberingAfterBreak="0">
    <w:nsid w:val="6FD334AC"/>
    <w:multiLevelType w:val="hybridMultilevel"/>
    <w:tmpl w:val="F980631C"/>
    <w:lvl w:ilvl="0" w:tplc="DBA8533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B3E3C0D"/>
    <w:multiLevelType w:val="multilevel"/>
    <w:tmpl w:val="FC6C563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0"/>
  </w:num>
  <w:num w:numId="18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 w:numId="25">
    <w:abstractNumId w:val="0"/>
  </w:num>
  <w:num w:numId="26">
    <w:abstractNumId w:val="3"/>
  </w:num>
  <w:num w:numId="27">
    <w:abstractNumId w:val="21"/>
  </w:num>
  <w:num w:numId="28">
    <w:abstractNumId w:val="4"/>
  </w:num>
  <w:num w:numId="29">
    <w:abstractNumId w:val="9"/>
  </w:num>
  <w:num w:numId="30">
    <w:abstractNumId w:val="17"/>
  </w:num>
  <w:num w:numId="31">
    <w:abstractNumId w:val="13"/>
  </w:num>
  <w:num w:numId="32">
    <w:abstractNumId w:val="18"/>
  </w:num>
  <w:num w:numId="33">
    <w:abstractNumId w:val="1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CE"/>
    <w:rsid w:val="00004696"/>
    <w:rsid w:val="00005165"/>
    <w:rsid w:val="00043D81"/>
    <w:rsid w:val="0004518A"/>
    <w:rsid w:val="000456DD"/>
    <w:rsid w:val="00055B77"/>
    <w:rsid w:val="00087008"/>
    <w:rsid w:val="0009184D"/>
    <w:rsid w:val="0009223B"/>
    <w:rsid w:val="000B51FA"/>
    <w:rsid w:val="000D44B7"/>
    <w:rsid w:val="000D5C1B"/>
    <w:rsid w:val="000E3EC6"/>
    <w:rsid w:val="000E4F0F"/>
    <w:rsid w:val="000E7D34"/>
    <w:rsid w:val="000F2B6B"/>
    <w:rsid w:val="0011761E"/>
    <w:rsid w:val="00122ADC"/>
    <w:rsid w:val="0012720C"/>
    <w:rsid w:val="00130986"/>
    <w:rsid w:val="00131AA9"/>
    <w:rsid w:val="001320F3"/>
    <w:rsid w:val="001510FB"/>
    <w:rsid w:val="001D068D"/>
    <w:rsid w:val="00203538"/>
    <w:rsid w:val="002153CB"/>
    <w:rsid w:val="002311F4"/>
    <w:rsid w:val="00250044"/>
    <w:rsid w:val="00250381"/>
    <w:rsid w:val="00253A62"/>
    <w:rsid w:val="002611C8"/>
    <w:rsid w:val="00280AE8"/>
    <w:rsid w:val="002834A3"/>
    <w:rsid w:val="002A563E"/>
    <w:rsid w:val="002B2C0A"/>
    <w:rsid w:val="002C150D"/>
    <w:rsid w:val="002C461E"/>
    <w:rsid w:val="002D6E0D"/>
    <w:rsid w:val="002F6BEC"/>
    <w:rsid w:val="00302E24"/>
    <w:rsid w:val="0031213B"/>
    <w:rsid w:val="003133D9"/>
    <w:rsid w:val="00332772"/>
    <w:rsid w:val="00335C0F"/>
    <w:rsid w:val="003525BB"/>
    <w:rsid w:val="003613A4"/>
    <w:rsid w:val="00387F29"/>
    <w:rsid w:val="003B1EEA"/>
    <w:rsid w:val="003C16ED"/>
    <w:rsid w:val="003E48BC"/>
    <w:rsid w:val="003F3807"/>
    <w:rsid w:val="00420E01"/>
    <w:rsid w:val="00446E33"/>
    <w:rsid w:val="00460723"/>
    <w:rsid w:val="004727CE"/>
    <w:rsid w:val="00487C33"/>
    <w:rsid w:val="004C2521"/>
    <w:rsid w:val="005008FD"/>
    <w:rsid w:val="00503F86"/>
    <w:rsid w:val="00507A24"/>
    <w:rsid w:val="005250B0"/>
    <w:rsid w:val="00572F33"/>
    <w:rsid w:val="00580A57"/>
    <w:rsid w:val="005908D6"/>
    <w:rsid w:val="00594D7E"/>
    <w:rsid w:val="005C1A41"/>
    <w:rsid w:val="005E2783"/>
    <w:rsid w:val="00631D5E"/>
    <w:rsid w:val="0064584F"/>
    <w:rsid w:val="00650B9B"/>
    <w:rsid w:val="006A021B"/>
    <w:rsid w:val="006B59C9"/>
    <w:rsid w:val="006C3AD6"/>
    <w:rsid w:val="006D37B4"/>
    <w:rsid w:val="00701D42"/>
    <w:rsid w:val="00712423"/>
    <w:rsid w:val="00712DD9"/>
    <w:rsid w:val="00713E1A"/>
    <w:rsid w:val="00715BC5"/>
    <w:rsid w:val="0071626B"/>
    <w:rsid w:val="00720BD2"/>
    <w:rsid w:val="00725E87"/>
    <w:rsid w:val="00747FC4"/>
    <w:rsid w:val="00760C31"/>
    <w:rsid w:val="0076482C"/>
    <w:rsid w:val="00766F25"/>
    <w:rsid w:val="00767E42"/>
    <w:rsid w:val="007D3043"/>
    <w:rsid w:val="007E2877"/>
    <w:rsid w:val="008062C4"/>
    <w:rsid w:val="00837724"/>
    <w:rsid w:val="00841079"/>
    <w:rsid w:val="00850747"/>
    <w:rsid w:val="00861EA8"/>
    <w:rsid w:val="008657BB"/>
    <w:rsid w:val="008829EF"/>
    <w:rsid w:val="008950CC"/>
    <w:rsid w:val="008C47F2"/>
    <w:rsid w:val="008D55EE"/>
    <w:rsid w:val="008F30E2"/>
    <w:rsid w:val="00934E28"/>
    <w:rsid w:val="009430FC"/>
    <w:rsid w:val="009732D3"/>
    <w:rsid w:val="009761C6"/>
    <w:rsid w:val="009830CD"/>
    <w:rsid w:val="00985893"/>
    <w:rsid w:val="009A1768"/>
    <w:rsid w:val="009A317F"/>
    <w:rsid w:val="009C0922"/>
    <w:rsid w:val="009D05E8"/>
    <w:rsid w:val="009D415B"/>
    <w:rsid w:val="009D66F6"/>
    <w:rsid w:val="009E5056"/>
    <w:rsid w:val="00A221C7"/>
    <w:rsid w:val="00A27BC6"/>
    <w:rsid w:val="00A52474"/>
    <w:rsid w:val="00A56594"/>
    <w:rsid w:val="00A56F4A"/>
    <w:rsid w:val="00A83CA6"/>
    <w:rsid w:val="00A93747"/>
    <w:rsid w:val="00A97FDA"/>
    <w:rsid w:val="00AA1DA6"/>
    <w:rsid w:val="00AA36BD"/>
    <w:rsid w:val="00AA49CA"/>
    <w:rsid w:val="00AC1433"/>
    <w:rsid w:val="00AC2910"/>
    <w:rsid w:val="00AC6A99"/>
    <w:rsid w:val="00AD1639"/>
    <w:rsid w:val="00AD7FD3"/>
    <w:rsid w:val="00AF3A79"/>
    <w:rsid w:val="00B03771"/>
    <w:rsid w:val="00B10A6C"/>
    <w:rsid w:val="00B14050"/>
    <w:rsid w:val="00B22393"/>
    <w:rsid w:val="00B409C5"/>
    <w:rsid w:val="00B53DDD"/>
    <w:rsid w:val="00B56DBC"/>
    <w:rsid w:val="00B66F89"/>
    <w:rsid w:val="00BA221F"/>
    <w:rsid w:val="00BA27AF"/>
    <w:rsid w:val="00BA7EF7"/>
    <w:rsid w:val="00BB272C"/>
    <w:rsid w:val="00BC3E84"/>
    <w:rsid w:val="00C001C4"/>
    <w:rsid w:val="00C035F2"/>
    <w:rsid w:val="00C145E7"/>
    <w:rsid w:val="00C31AEE"/>
    <w:rsid w:val="00C43C40"/>
    <w:rsid w:val="00C8020A"/>
    <w:rsid w:val="00C8674D"/>
    <w:rsid w:val="00C90C11"/>
    <w:rsid w:val="00C976F0"/>
    <w:rsid w:val="00CA3098"/>
    <w:rsid w:val="00CA403C"/>
    <w:rsid w:val="00CC0893"/>
    <w:rsid w:val="00CC2B1F"/>
    <w:rsid w:val="00CD14F4"/>
    <w:rsid w:val="00CD1761"/>
    <w:rsid w:val="00CD3370"/>
    <w:rsid w:val="00CD3774"/>
    <w:rsid w:val="00CD4756"/>
    <w:rsid w:val="00D01EB2"/>
    <w:rsid w:val="00D125B5"/>
    <w:rsid w:val="00D24A15"/>
    <w:rsid w:val="00D256EC"/>
    <w:rsid w:val="00D40D7E"/>
    <w:rsid w:val="00D4230F"/>
    <w:rsid w:val="00D47FD7"/>
    <w:rsid w:val="00D75BEA"/>
    <w:rsid w:val="00D8523D"/>
    <w:rsid w:val="00D91580"/>
    <w:rsid w:val="00DA7C0F"/>
    <w:rsid w:val="00DC10D6"/>
    <w:rsid w:val="00DC2466"/>
    <w:rsid w:val="00DC3C62"/>
    <w:rsid w:val="00DC4B42"/>
    <w:rsid w:val="00DC4CBD"/>
    <w:rsid w:val="00DD5B6B"/>
    <w:rsid w:val="00DE4931"/>
    <w:rsid w:val="00DE535F"/>
    <w:rsid w:val="00DF3A2B"/>
    <w:rsid w:val="00E11E9C"/>
    <w:rsid w:val="00E2068E"/>
    <w:rsid w:val="00E212E2"/>
    <w:rsid w:val="00E32722"/>
    <w:rsid w:val="00E3369E"/>
    <w:rsid w:val="00E668C3"/>
    <w:rsid w:val="00EA52E8"/>
    <w:rsid w:val="00EC3520"/>
    <w:rsid w:val="00EE500B"/>
    <w:rsid w:val="00F06CAB"/>
    <w:rsid w:val="00F12A94"/>
    <w:rsid w:val="00F23523"/>
    <w:rsid w:val="00F316ED"/>
    <w:rsid w:val="00F3484A"/>
    <w:rsid w:val="00F613E0"/>
    <w:rsid w:val="00F658B5"/>
    <w:rsid w:val="00F841B3"/>
    <w:rsid w:val="00F94074"/>
    <w:rsid w:val="00F94E1C"/>
    <w:rsid w:val="00FB4062"/>
    <w:rsid w:val="00FC38AD"/>
    <w:rsid w:val="00FD468F"/>
    <w:rsid w:val="00FD4CD7"/>
    <w:rsid w:val="00FE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6C82"/>
  <w15:docId w15:val="{45000A9D-2AB9-4D46-8868-F0368F51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42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0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724"/>
    <w:pPr>
      <w:suppressAutoHyphens/>
      <w:autoSpaceDN w:val="0"/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837724"/>
    <w:pPr>
      <w:suppressAutoHyphens/>
      <w:autoSpaceDE w:val="0"/>
      <w:autoSpaceDN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6E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22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223B"/>
    <w:rPr>
      <w:sz w:val="20"/>
      <w:szCs w:val="20"/>
    </w:rPr>
  </w:style>
  <w:style w:type="character" w:styleId="Odwoanieprzypisudolnego">
    <w:name w:val="footnote reference"/>
    <w:semiHidden/>
    <w:unhideWhenUsed/>
    <w:rsid w:val="0009223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A221F"/>
    <w:rPr>
      <w:color w:val="808080"/>
    </w:rPr>
  </w:style>
  <w:style w:type="character" w:styleId="Pogrubienie">
    <w:name w:val="Strong"/>
    <w:basedOn w:val="Domylnaczcionkaakapitu"/>
    <w:uiPriority w:val="22"/>
    <w:qFormat/>
    <w:rsid w:val="00B10A6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280AE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02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F0CD-C036-4E0D-9146-841745A3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1608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2</cp:revision>
  <cp:lastPrinted>2022-12-12T09:14:00Z</cp:lastPrinted>
  <dcterms:created xsi:type="dcterms:W3CDTF">2023-04-11T08:25:00Z</dcterms:created>
  <dcterms:modified xsi:type="dcterms:W3CDTF">2023-04-11T08:25:00Z</dcterms:modified>
</cp:coreProperties>
</file>